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lineRule="auto" w:line="216" w:before="93" w:after="0"/>
        <w:rPr/>
      </w:pPr>
      <w:r>
        <w:rPr/>
        <w:t>Notice</w:t>
      </w:r>
      <w:r>
        <w:rPr>
          <w:spacing w:val="-17"/>
        </w:rPr>
        <w:t xml:space="preserve"> </w:t>
      </w:r>
      <w:r>
        <w:rPr/>
        <w:t>of</w:t>
      </w:r>
      <w:r>
        <w:rPr>
          <w:spacing w:val="-25"/>
        </w:rPr>
        <w:t xml:space="preserve"> </w:t>
      </w:r>
      <w:r>
        <w:rPr/>
        <w:t>Acceptance,</w:t>
      </w:r>
      <w:r>
        <w:rPr>
          <w:spacing w:val="-15"/>
        </w:rPr>
        <w:t xml:space="preserve"> </w:t>
      </w:r>
      <w:r>
        <w:rPr/>
        <w:t>Mutually/Tacitly</w:t>
      </w:r>
      <w:r>
        <w:rPr>
          <w:spacing w:val="-15"/>
        </w:rPr>
        <w:t xml:space="preserve"> </w:t>
      </w:r>
      <w:r>
        <w:rPr/>
        <w:t>agreed</w:t>
      </w:r>
      <w:r>
        <w:rPr>
          <w:spacing w:val="-15"/>
        </w:rPr>
        <w:t xml:space="preserve"> </w:t>
      </w:r>
      <w:r>
        <w:rPr/>
        <w:t xml:space="preserve">War </w:t>
      </w:r>
      <w:r>
        <w:rPr>
          <w:spacing w:val="-2"/>
        </w:rPr>
        <w:t>Crimes</w:t>
      </w:r>
    </w:p>
    <w:p>
      <w:pPr>
        <w:pStyle w:val="TextBody"/>
        <w:spacing w:before="5" w:after="0"/>
        <w:rPr>
          <w:b/>
          <w:b/>
          <w:sz w:val="11"/>
        </w:rPr>
      </w:pPr>
      <w:r>
        <w:rPr>
          <w:b/>
          <w:sz w:val="11"/>
        </w:rPr>
      </w:r>
    </w:p>
    <w:p>
      <w:pPr>
        <w:pStyle w:val="Normal"/>
        <w:widowControl w:val="false"/>
        <w:bidi w:val="0"/>
        <w:spacing w:lineRule="auto" w:line="247" w:before="0" w:after="0"/>
        <w:ind w:left="0" w:right="113" w:hanging="0"/>
        <w:jc w:val="right"/>
        <w:rPr>
          <w:color w:val="C9211E"/>
        </w:rPr>
      </w:pPr>
      <w:r>
        <w:rPr>
          <w:color w:val="C9211E"/>
          <w:sz w:val="22"/>
        </w:rPr>
        <w:t>John</w:t>
      </w:r>
      <w:r>
        <w:rPr>
          <w:color w:val="C9211E"/>
          <w:spacing w:val="-16"/>
          <w:sz w:val="22"/>
        </w:rPr>
        <w:t xml:space="preserve"> </w:t>
      </w:r>
      <w:r>
        <w:rPr>
          <w:color w:val="C9211E"/>
          <w:sz w:val="22"/>
        </w:rPr>
        <w:t>Adam</w:t>
      </w:r>
      <w:r>
        <w:rPr>
          <w:color w:val="C9211E"/>
          <w:spacing w:val="-15"/>
          <w:sz w:val="22"/>
        </w:rPr>
        <w:t xml:space="preserve"> </w:t>
      </w:r>
      <w:r>
        <w:rPr>
          <w:color w:val="C9211E"/>
          <w:sz w:val="22"/>
        </w:rPr>
        <w:t>Doe</w:t>
      </w:r>
    </w:p>
    <w:p>
      <w:pPr>
        <w:pStyle w:val="Normal"/>
        <w:widowControl w:val="false"/>
        <w:bidi w:val="0"/>
        <w:spacing w:lineRule="auto" w:line="247" w:before="0" w:after="0"/>
        <w:ind w:left="0" w:right="113" w:hanging="0"/>
        <w:jc w:val="right"/>
        <w:rPr>
          <w:color w:val="C9211E"/>
        </w:rPr>
      </w:pPr>
      <w:r>
        <w:rPr>
          <w:color w:val="C9211E"/>
          <w:sz w:val="22"/>
        </w:rPr>
        <w:t xml:space="preserve"> </w:t>
      </w:r>
      <w:r>
        <w:rPr>
          <w:color w:val="C9211E"/>
          <w:sz w:val="22"/>
        </w:rPr>
        <w:t xml:space="preserve">In Care of </w:t>
      </w:r>
      <w:r>
        <w:rPr>
          <w:color w:val="C9211E"/>
          <w:sz w:val="22"/>
        </w:rPr>
        <w:t>Onesville</w:t>
      </w:r>
      <w:r>
        <w:rPr>
          <w:color w:val="C9211E"/>
          <w:spacing w:val="-5"/>
          <w:sz w:val="22"/>
        </w:rPr>
        <w:t xml:space="preserve"> </w:t>
      </w:r>
      <w:r>
        <w:rPr>
          <w:color w:val="C9211E"/>
          <w:sz w:val="22"/>
        </w:rPr>
        <w:t>Post</w:t>
      </w:r>
      <w:r>
        <w:rPr>
          <w:color w:val="C9211E"/>
          <w:spacing w:val="-6"/>
          <w:sz w:val="22"/>
        </w:rPr>
        <w:t xml:space="preserve"> </w:t>
      </w:r>
      <w:r>
        <w:rPr>
          <w:color w:val="C9211E"/>
          <w:spacing w:val="-2"/>
          <w:sz w:val="22"/>
        </w:rPr>
        <w:t>Office</w:t>
      </w:r>
    </w:p>
    <w:p>
      <w:pPr>
        <w:pStyle w:val="Normal"/>
        <w:widowControl w:val="false"/>
        <w:bidi w:val="0"/>
        <w:spacing w:lineRule="auto" w:line="247" w:before="0" w:after="0"/>
        <w:ind w:left="0" w:right="113" w:hanging="0"/>
        <w:jc w:val="right"/>
        <w:rPr>
          <w:color w:val="C9211E"/>
        </w:rPr>
      </w:pPr>
      <w:r>
        <w:rPr>
          <w:color w:val="C9211E"/>
          <w:spacing w:val="-2"/>
          <w:sz w:val="22"/>
        </w:rPr>
        <w:t>Onesvill</w:t>
      </w:r>
      <w:r>
        <w:rPr>
          <w:color w:val="C9211E"/>
          <w:spacing w:val="-2"/>
          <w:sz w:val="22"/>
        </w:rPr>
        <w:t xml:space="preserve">e </w:t>
      </w:r>
      <w:r>
        <w:rPr>
          <w:color w:val="C9211E"/>
          <w:spacing w:val="-2"/>
          <w:sz w:val="22"/>
        </w:rPr>
        <w:t xml:space="preserve">Queensland, </w:t>
      </w:r>
      <w:r>
        <w:rPr>
          <w:color w:val="C9211E"/>
          <w:sz w:val="22"/>
        </w:rPr>
        <w:t xml:space="preserve">[Near 1111] </w:t>
      </w:r>
      <w:r>
        <w:rPr>
          <w:color w:val="C9211E"/>
          <w:spacing w:val="-2"/>
          <w:sz w:val="22"/>
        </w:rPr>
        <w:t>Australia</w:t>
      </w:r>
    </w:p>
    <w:p>
      <w:pPr>
        <w:pStyle w:val="TextBody"/>
        <w:rPr>
          <w:sz w:val="20"/>
        </w:rPr>
      </w:pPr>
      <w:r>
        <w:rPr>
          <w:sz w:val="20"/>
        </w:rPr>
      </w:r>
    </w:p>
    <w:p>
      <w:pPr>
        <w:pStyle w:val="TextBody"/>
        <w:rPr>
          <w:sz w:val="27"/>
        </w:rPr>
      </w:pPr>
      <w:r>
        <w:rPr>
          <w:sz w:val="27"/>
        </w:rPr>
      </w:r>
    </w:p>
    <w:p>
      <w:pPr>
        <w:pStyle w:val="TextBody"/>
        <w:spacing w:before="93" w:after="0"/>
        <w:ind w:left="0" w:right="115" w:hanging="0"/>
        <w:jc w:val="right"/>
        <w:rPr/>
      </w:pPr>
      <w:r>
        <w:rPr>
          <w:spacing w:val="-2"/>
        </w:rPr>
        <w:t>……………………</w:t>
      </w:r>
      <w:r>
        <w:rPr>
          <w:spacing w:val="-2"/>
        </w:rPr>
        <w:t>2023</w:t>
      </w:r>
    </w:p>
    <w:p>
      <w:pPr>
        <w:pStyle w:val="TextBody"/>
        <w:widowControl w:val="false"/>
        <w:bidi w:val="0"/>
        <w:spacing w:lineRule="auto" w:line="223" w:before="0" w:after="0"/>
        <w:ind w:left="113" w:right="0" w:hanging="0"/>
        <w:jc w:val="left"/>
        <w:rPr>
          <w:color w:val="C9211E"/>
        </w:rPr>
      </w:pPr>
      <w:r>
        <w:rPr>
          <w:color w:val="C9211E"/>
        </w:rPr>
        <w:t>Respondent</w:t>
      </w:r>
    </w:p>
    <w:p>
      <w:pPr>
        <w:pStyle w:val="TextBody"/>
        <w:widowControl w:val="false"/>
        <w:bidi w:val="0"/>
        <w:spacing w:lineRule="auto" w:line="223" w:before="0" w:after="0"/>
        <w:ind w:left="113" w:right="0" w:hanging="0"/>
        <w:jc w:val="left"/>
        <w:rPr>
          <w:color w:val="C9211E"/>
        </w:rPr>
      </w:pPr>
      <w:r>
        <w:rPr>
          <w:color w:val="C9211E"/>
          <w:spacing w:val="-4"/>
        </w:rPr>
        <w:t>State</w:t>
      </w:r>
      <w:r>
        <w:rPr>
          <w:color w:val="C9211E"/>
          <w:spacing w:val="-13"/>
        </w:rPr>
        <w:t xml:space="preserve"> </w:t>
      </w:r>
      <w:r>
        <w:rPr>
          <w:color w:val="C9211E"/>
          <w:spacing w:val="-4"/>
        </w:rPr>
        <w:t>Law</w:t>
      </w:r>
      <w:r>
        <w:rPr>
          <w:color w:val="C9211E"/>
          <w:spacing w:val="-13"/>
        </w:rPr>
        <w:t xml:space="preserve"> </w:t>
      </w:r>
      <w:r>
        <w:rPr>
          <w:color w:val="C9211E"/>
          <w:spacing w:val="-4"/>
        </w:rPr>
        <w:t>Building</w:t>
      </w:r>
    </w:p>
    <w:p>
      <w:pPr>
        <w:pStyle w:val="TextBody"/>
        <w:widowControl w:val="false"/>
        <w:bidi w:val="0"/>
        <w:spacing w:lineRule="auto" w:line="223" w:before="0" w:after="0"/>
        <w:ind w:left="113" w:right="0" w:hanging="0"/>
        <w:jc w:val="left"/>
        <w:rPr>
          <w:color w:val="C9211E"/>
        </w:rPr>
      </w:pPr>
      <w:r>
        <w:rPr>
          <w:color w:val="C9211E"/>
        </w:rPr>
        <w:t xml:space="preserve">1 William Street </w:t>
      </w:r>
    </w:p>
    <w:p>
      <w:pPr>
        <w:pStyle w:val="TextBody"/>
        <w:widowControl w:val="false"/>
        <w:bidi w:val="0"/>
        <w:spacing w:lineRule="auto" w:line="223" w:before="0" w:after="0"/>
        <w:ind w:left="113" w:right="0" w:hanging="0"/>
        <w:jc w:val="left"/>
        <w:rPr>
          <w:color w:val="C9211E"/>
        </w:rPr>
      </w:pPr>
      <w:r>
        <w:rPr>
          <w:color w:val="C9211E"/>
          <w:spacing w:val="-2"/>
        </w:rPr>
        <w:t>Brisbane Queensland</w:t>
      </w:r>
      <w:r>
        <w:rPr>
          <w:color w:val="C9211E"/>
          <w:spacing w:val="40"/>
        </w:rPr>
        <w:t xml:space="preserve"> </w:t>
      </w:r>
      <w:r>
        <w:rPr>
          <w:color w:val="C9211E"/>
        </w:rPr>
        <w:t xml:space="preserve">[Near 4000] </w:t>
      </w:r>
      <w:r>
        <w:rPr>
          <w:color w:val="C9211E"/>
          <w:spacing w:val="-2"/>
        </w:rPr>
        <w:t>Australia</w:t>
      </w:r>
    </w:p>
    <w:p>
      <w:pPr>
        <w:pStyle w:val="TextBody"/>
        <w:spacing w:lineRule="auto" w:line="223" w:before="204" w:after="0"/>
        <w:ind w:left="117" w:right="115" w:hanging="0"/>
        <w:jc w:val="both"/>
        <w:rPr/>
      </w:pPr>
      <w:r>
        <w:rPr/>
        <w:t xml:space="preserve">Attention Principle </w:t>
      </w:r>
      <w:r>
        <w:rPr>
          <w:color w:val="C9211E"/>
        </w:rPr>
        <w:t>Respondent/RESPONDENT</w:t>
      </w:r>
      <w:r>
        <w:rPr/>
        <w:t xml:space="preserve"> </w:t>
      </w:r>
      <w:r>
        <w:rPr/>
        <w:t>and</w:t>
      </w:r>
      <w:r>
        <w:rPr/>
        <w:t xml:space="preserve"> his Heirs and </w:t>
      </w:r>
      <w:r>
        <w:rPr>
          <w:spacing w:val="-2"/>
        </w:rPr>
        <w:t>Successors.</w:t>
      </w:r>
    </w:p>
    <w:p>
      <w:pPr>
        <w:pStyle w:val="TextBody"/>
        <w:rPr>
          <w:sz w:val="21"/>
        </w:rPr>
      </w:pPr>
      <w:r>
        <w:rPr>
          <w:sz w:val="21"/>
        </w:rPr>
      </w:r>
    </w:p>
    <w:p>
      <w:pPr>
        <w:pStyle w:val="TextBody"/>
        <w:spacing w:lineRule="auto" w:line="223"/>
        <w:ind w:left="117" w:right="115" w:hanging="0"/>
        <w:jc w:val="both"/>
        <w:rPr/>
      </w:pPr>
      <w:r>
        <w:rPr/>
        <w:t xml:space="preserve">By </w:t>
      </w:r>
      <w:r>
        <w:rPr>
          <w:color w:val="C9211E"/>
        </w:rPr>
        <w:t>Respondent/RESPONDENT</w:t>
      </w:r>
      <w:r>
        <w:rPr/>
        <w:t xml:space="preserve"> silence, </w:t>
      </w:r>
      <w:r>
        <w:rPr>
          <w:color w:val="C9211E"/>
        </w:rPr>
        <w:t>Respondent/RESPONDENT</w:t>
      </w:r>
      <w:r>
        <w:rPr/>
        <w:t xml:space="preserve"> now agrees to accept full responsibility, Personal and Proprietary, for flagrantly violating Palermo Protocols whereby, intentionally mischaracterising this Living Soul Author (LSA). These crimes are evidenced through relentless, publicly recorded demonstration(s) of Fraudulent Joinder, Postal Fraud, Unlawful Conversion, Sedition, and Criminal Personage, directly stemming from the deliberate and unlawful manipulation of Naming Convention(s).</w:t>
      </w:r>
    </w:p>
    <w:p>
      <w:pPr>
        <w:pStyle w:val="TextBody"/>
        <w:spacing w:before="2" w:after="0"/>
        <w:rPr>
          <w:sz w:val="21"/>
        </w:rPr>
      </w:pPr>
      <w:r>
        <w:rPr>
          <w:sz w:val="21"/>
        </w:rPr>
      </w:r>
    </w:p>
    <w:p>
      <w:pPr>
        <w:pStyle w:val="TextBody"/>
        <w:tabs>
          <w:tab w:val="clear" w:pos="720"/>
          <w:tab w:val="left" w:pos="1784" w:leader="dot"/>
        </w:tabs>
        <w:spacing w:lineRule="auto" w:line="223" w:before="1" w:after="0"/>
        <w:ind w:left="117" w:right="115" w:hanging="0"/>
        <w:jc w:val="both"/>
        <w:rPr/>
      </w:pPr>
      <w:r>
        <w:rPr/>
        <w:t>On</w:t>
      </w:r>
      <w:r>
        <w:rPr>
          <w:spacing w:val="-7"/>
        </w:rPr>
        <w:t xml:space="preserve"> </w:t>
      </w:r>
      <w:r>
        <w:rPr/>
        <w:t>and</w:t>
      </w:r>
      <w:r>
        <w:rPr>
          <w:spacing w:val="-7"/>
        </w:rPr>
        <w:t xml:space="preserve"> </w:t>
      </w:r>
      <w:r>
        <w:rPr/>
        <w:t>for</w:t>
      </w:r>
      <w:r>
        <w:rPr>
          <w:spacing w:val="-7"/>
        </w:rPr>
        <w:t xml:space="preserve"> </w:t>
      </w:r>
      <w:r>
        <w:rPr/>
        <w:t>the</w:t>
      </w:r>
      <w:r>
        <w:rPr>
          <w:spacing w:val="-7"/>
        </w:rPr>
        <w:t xml:space="preserve"> </w:t>
      </w:r>
      <w:r>
        <w:rPr/>
        <w:t>record;</w:t>
      </w:r>
      <w:r>
        <w:rPr>
          <w:spacing w:val="-7"/>
        </w:rPr>
        <w:t xml:space="preserve"> </w:t>
      </w:r>
      <w:r>
        <w:rPr>
          <w:color w:val="C9211E"/>
        </w:rPr>
        <w:t>Respondent/RESPONDENT</w:t>
      </w:r>
      <w:r>
        <w:rPr>
          <w:spacing w:val="-7"/>
        </w:rPr>
        <w:t xml:space="preserve"> </w:t>
      </w:r>
      <w:r>
        <w:rPr/>
        <w:t>and</w:t>
      </w:r>
      <w:r>
        <w:rPr>
          <w:spacing w:val="-7"/>
        </w:rPr>
        <w:t xml:space="preserve"> </w:t>
      </w:r>
      <w:r>
        <w:rPr/>
        <w:t>his</w:t>
      </w:r>
      <w:r>
        <w:rPr>
          <w:spacing w:val="-7"/>
        </w:rPr>
        <w:t xml:space="preserve"> </w:t>
      </w:r>
      <w:r>
        <w:rPr/>
        <w:t>Heirs</w:t>
      </w:r>
      <w:r>
        <w:rPr>
          <w:spacing w:val="-7"/>
        </w:rPr>
        <w:t xml:space="preserve"> </w:t>
      </w:r>
      <w:r>
        <w:rPr/>
        <w:t>and</w:t>
      </w:r>
      <w:r>
        <w:rPr>
          <w:spacing w:val="-7"/>
        </w:rPr>
        <w:t xml:space="preserve"> </w:t>
      </w:r>
      <w:r>
        <w:rPr/>
        <w:t xml:space="preserve">Successors have tacitly agreed with an un-rebutted ‘Living Testimony(s) in the form of an Affidavit(s)’, </w:t>
      </w:r>
      <w:r>
        <w:rPr>
          <w:color w:val="C9211E"/>
        </w:rPr>
        <w:t>Public Record Number RPP1111111 11111 11111 11111</w:t>
      </w:r>
      <w:r>
        <w:rPr/>
        <w:t xml:space="preserve">, Proclamation </w:t>
      </w:r>
      <w:r>
        <w:rPr>
          <w:spacing w:val="-4"/>
        </w:rPr>
        <w:t>Date</w:t>
      </w:r>
      <w:r>
        <w:rPr>
          <w:rFonts w:ascii="Times New Roman" w:hAnsi="Times New Roman"/>
          <w:color w:val="C9211E"/>
        </w:rPr>
        <w:tab/>
      </w:r>
      <w:r>
        <w:rPr/>
        <w:t>and</w:t>
      </w:r>
      <w:r>
        <w:rPr>
          <w:spacing w:val="-10"/>
        </w:rPr>
        <w:t xml:space="preserve"> </w:t>
      </w:r>
      <w:r>
        <w:rPr/>
        <w:t>all</w:t>
      </w:r>
      <w:r>
        <w:rPr>
          <w:spacing w:val="-5"/>
        </w:rPr>
        <w:t xml:space="preserve"> </w:t>
      </w:r>
      <w:r>
        <w:rPr/>
        <w:t>parties</w:t>
      </w:r>
      <w:r>
        <w:rPr>
          <w:spacing w:val="-6"/>
        </w:rPr>
        <w:t xml:space="preserve"> </w:t>
      </w:r>
      <w:r>
        <w:rPr/>
        <w:t>now</w:t>
      </w:r>
      <w:r>
        <w:rPr>
          <w:spacing w:val="-6"/>
        </w:rPr>
        <w:t xml:space="preserve"> </w:t>
      </w:r>
      <w:r>
        <w:rPr/>
        <w:t>mutually</w:t>
      </w:r>
      <w:r>
        <w:rPr>
          <w:spacing w:val="-5"/>
        </w:rPr>
        <w:t xml:space="preserve"> </w:t>
      </w:r>
      <w:r>
        <w:rPr/>
        <w:t>agree.</w:t>
      </w:r>
      <w:r>
        <w:rPr>
          <w:spacing w:val="-17"/>
        </w:rPr>
        <w:t xml:space="preserve"> </w:t>
      </w:r>
      <w:r>
        <w:rPr/>
        <w:t>Any</w:t>
      </w:r>
      <w:r>
        <w:rPr>
          <w:spacing w:val="-16"/>
        </w:rPr>
        <w:t xml:space="preserve"> </w:t>
      </w:r>
      <w:r>
        <w:rPr/>
        <w:t>Administrator</w:t>
      </w:r>
      <w:r>
        <w:rPr>
          <w:spacing w:val="-6"/>
        </w:rPr>
        <w:t xml:space="preserve"> </w:t>
      </w:r>
      <w:r>
        <w:rPr/>
        <w:t>or</w:t>
      </w:r>
      <w:r>
        <w:rPr>
          <w:spacing w:val="-6"/>
        </w:rPr>
        <w:t xml:space="preserve"> </w:t>
      </w:r>
      <w:r>
        <w:rPr/>
        <w:t>Executor</w:t>
      </w:r>
      <w:r>
        <w:rPr>
          <w:spacing w:val="-5"/>
        </w:rPr>
        <w:t xml:space="preserve"> </w:t>
      </w:r>
      <w:r>
        <w:rPr>
          <w:spacing w:val="-4"/>
        </w:rPr>
        <w:t xml:space="preserve">that </w:t>
      </w:r>
      <w:r>
        <w:rPr/>
        <w:t xml:space="preserve">now refuses to immediately dissolve a Cestui Que (Vie) Trust is guilty of fraud and fundamental breach of their fiduciary duties requiring their immediate removal and </w:t>
      </w:r>
      <w:r>
        <w:rPr>
          <w:spacing w:val="-2"/>
        </w:rPr>
        <w:t>punishment.</w:t>
      </w:r>
    </w:p>
    <w:p>
      <w:pPr>
        <w:pStyle w:val="TextBody"/>
        <w:rPr>
          <w:sz w:val="21"/>
        </w:rPr>
      </w:pPr>
      <w:r>
        <w:rPr>
          <w:sz w:val="21"/>
        </w:rPr>
      </w:r>
    </w:p>
    <w:p>
      <w:pPr>
        <w:pStyle w:val="TextBody"/>
        <w:spacing w:lineRule="auto" w:line="223"/>
        <w:ind w:left="117" w:right="115" w:hanging="0"/>
        <w:jc w:val="both"/>
        <w:rPr/>
      </w:pPr>
      <w:r>
        <w:rPr/>
        <w:t xml:space="preserve">By receiving this Notice, all deniability is removed. Fraus est celare fraudem meaning ‘It is a Fraud to conceal a Fraud’ and </w:t>
      </w:r>
      <w:r>
        <w:rPr>
          <w:color w:val="C9211E"/>
        </w:rPr>
        <w:t>Respondent/RESPONDENT</w:t>
      </w:r>
      <w:r>
        <w:rPr/>
        <w:t xml:space="preserve"> tacitly understands that these War Crimes are to be displayed on Public Record. By Maxim of Law, ‘it’s fraud to conceal fraud,’ and Fraud has no Sunset Clause.</w:t>
      </w:r>
    </w:p>
    <w:p>
      <w:pPr>
        <w:pStyle w:val="TextBody"/>
        <w:spacing w:before="1" w:after="0"/>
        <w:rPr>
          <w:sz w:val="21"/>
        </w:rPr>
      </w:pPr>
      <w:r>
        <w:rPr>
          <w:sz w:val="21"/>
        </w:rPr>
      </w:r>
    </w:p>
    <w:p>
      <w:pPr>
        <w:pStyle w:val="TextBody"/>
        <w:spacing w:lineRule="auto" w:line="223"/>
        <w:ind w:left="117" w:right="115" w:hanging="0"/>
        <w:jc w:val="both"/>
        <w:rPr/>
      </w:pPr>
      <w:r>
        <w:rPr/>
        <w:t>And whereas, all spellings herein are of the authors creation, and which author is necessarily the authority as to definition.</w:t>
      </w:r>
    </w:p>
    <w:p>
      <w:pPr>
        <w:pStyle w:val="TextBody"/>
        <w:rPr>
          <w:sz w:val="21"/>
        </w:rPr>
      </w:pPr>
      <w:r>
        <w:rPr>
          <w:sz w:val="21"/>
        </w:rPr>
      </w:r>
    </w:p>
    <w:p>
      <w:pPr>
        <w:pStyle w:val="TextBody"/>
        <w:spacing w:lineRule="auto" w:line="223"/>
        <w:ind w:left="117" w:right="115" w:hanging="0"/>
        <w:jc w:val="both"/>
        <w:rPr/>
      </w:pPr>
      <w:r>
        <w:rPr/>
        <w:t>And whereas, Notice to Agents is Notice to Principles, and Notice to Principles is Notice to Agents.</w:t>
      </w:r>
    </w:p>
    <w:p>
      <w:pPr>
        <w:sectPr>
          <w:footerReference w:type="default" r:id="rId2"/>
          <w:type w:val="nextPage"/>
          <w:pgSz w:w="11906" w:h="16838"/>
          <w:pgMar w:left="1300" w:right="1300" w:gutter="0" w:header="0" w:top="1260" w:footer="1531" w:bottom="1720"/>
          <w:pgNumType w:fmt="decimal"/>
          <w:formProt w:val="false"/>
          <w:textDirection w:val="lrTb"/>
        </w:sectPr>
      </w:pPr>
    </w:p>
    <w:p>
      <w:pPr>
        <w:pStyle w:val="TextBody"/>
        <w:spacing w:lineRule="auto" w:line="223" w:before="80" w:after="0"/>
        <w:ind w:left="117" w:right="0" w:hanging="0"/>
        <w:rPr/>
      </w:pPr>
      <w:r>
        <w:rPr/>
        <w:t>Please Note; One reserves the right to produce a copy of this correspondence to any Court, now in the present, or any time in the future.</w:t>
      </w:r>
    </w:p>
    <w:p>
      <w:pPr>
        <w:pStyle w:val="TextBody"/>
        <w:spacing w:before="11" w:after="0"/>
        <w:rPr>
          <w:sz w:val="20"/>
        </w:rPr>
      </w:pPr>
      <w:r>
        <w:rPr>
          <w:sz w:val="20"/>
        </w:rPr>
      </w:r>
    </w:p>
    <w:p>
      <w:pPr>
        <w:pStyle w:val="TextBody"/>
        <w:spacing w:lineRule="auto" w:line="223"/>
        <w:ind w:left="117" w:right="0" w:hanging="0"/>
        <w:rPr/>
      </w:pPr>
      <w:r>
        <w:rPr/>
        <w:t xml:space="preserve">Also Note: One reserves the right to make this correspondence, and </w:t>
      </w:r>
      <w:r>
        <w:rPr>
          <w:color w:val="C9211E"/>
        </w:rPr>
        <w:t>Respondent/RESPONDENT</w:t>
      </w:r>
      <w:r>
        <w:rPr/>
        <w:t>’s reply, or failure to reply, Public information, and post accordingly.</w:t>
      </w:r>
    </w:p>
    <w:p>
      <w:pPr>
        <w:pStyle w:val="TextBody"/>
        <w:spacing w:before="227" w:after="0"/>
        <w:ind w:left="117" w:right="0" w:hanging="0"/>
        <w:rPr/>
      </w:pPr>
      <w:r>
        <w:rPr/>
        <w:t>With</w:t>
      </w:r>
      <w:r>
        <w:rPr>
          <w:spacing w:val="-7"/>
        </w:rPr>
        <w:t xml:space="preserve"> </w:t>
      </w:r>
      <w:r>
        <w:rPr/>
        <w:t>Just</w:t>
      </w:r>
      <w:r>
        <w:rPr>
          <w:spacing w:val="-8"/>
        </w:rPr>
        <w:t xml:space="preserve"> </w:t>
      </w:r>
      <w:r>
        <w:rPr/>
        <w:t>cause</w:t>
      </w:r>
      <w:r>
        <w:rPr>
          <w:spacing w:val="-7"/>
        </w:rPr>
        <w:t xml:space="preserve"> </w:t>
      </w:r>
      <w:r>
        <w:rPr/>
        <w:t>and</w:t>
      </w:r>
      <w:r>
        <w:rPr>
          <w:spacing w:val="-6"/>
        </w:rPr>
        <w:t xml:space="preserve"> </w:t>
      </w:r>
      <w:r>
        <w:rPr/>
        <w:t>Without</w:t>
      </w:r>
      <w:r>
        <w:rPr>
          <w:spacing w:val="-7"/>
        </w:rPr>
        <w:t xml:space="preserve"> </w:t>
      </w:r>
      <w:r>
        <w:rPr/>
        <w:t>Prejudice,</w:t>
      </w:r>
      <w:r>
        <w:rPr>
          <w:spacing w:val="-7"/>
        </w:rPr>
        <w:t xml:space="preserve"> </w:t>
      </w:r>
      <w:r>
        <w:rPr/>
        <w:t>sincerely,</w:t>
      </w:r>
      <w:r>
        <w:rPr>
          <w:spacing w:val="-6"/>
        </w:rPr>
        <w:t xml:space="preserve"> </w:t>
      </w:r>
      <w:r>
        <w:rPr/>
        <w:t>this</w:t>
      </w:r>
      <w:r>
        <w:rPr>
          <w:spacing w:val="-7"/>
        </w:rPr>
        <w:t xml:space="preserve"> </w:t>
      </w:r>
      <w:r>
        <w:rPr/>
        <w:t>Notice</w:t>
      </w:r>
      <w:r>
        <w:rPr>
          <w:spacing w:val="-7"/>
        </w:rPr>
        <w:t xml:space="preserve"> </w:t>
      </w:r>
      <w:r>
        <w:rPr/>
        <w:t>was</w:t>
      </w:r>
      <w:r>
        <w:rPr>
          <w:spacing w:val="-7"/>
        </w:rPr>
        <w:t xml:space="preserve"> </w:t>
      </w:r>
      <w:r>
        <w:rPr/>
        <w:t>written</w:t>
      </w:r>
      <w:r>
        <w:rPr>
          <w:spacing w:val="-6"/>
        </w:rPr>
        <w:t xml:space="preserve"> </w:t>
      </w:r>
      <w:r>
        <w:rPr>
          <w:spacing w:val="-5"/>
        </w:rPr>
        <w:t>by,</w:t>
      </w:r>
    </w:p>
    <w:p>
      <w:pPr>
        <w:pStyle w:val="TextBody"/>
        <w:spacing w:before="3" w:after="0"/>
        <w:rPr>
          <w:sz w:val="25"/>
        </w:rPr>
      </w:pPr>
      <w:r>
        <w:rPr>
          <w:sz w:val="25"/>
        </w:rPr>
      </w:r>
    </w:p>
    <w:p>
      <w:pPr>
        <w:pStyle w:val="Normal"/>
        <w:spacing w:lineRule="exact" w:line="241" w:before="0" w:after="0"/>
        <w:ind w:left="0" w:right="115" w:hanging="0"/>
        <w:jc w:val="right"/>
        <w:rPr>
          <w:sz w:val="22"/>
        </w:rPr>
      </w:pPr>
      <w:r>
        <w:rPr>
          <w:spacing w:val="-2"/>
          <w:sz w:val="22"/>
        </w:rPr>
        <w:t>………………………………………………………</w:t>
      </w:r>
    </w:p>
    <w:p>
      <w:pPr>
        <w:pStyle w:val="TextBody"/>
        <w:spacing w:lineRule="exact" w:line="249"/>
        <w:ind w:left="0" w:right="115" w:hanging="0"/>
        <w:jc w:val="right"/>
        <w:rPr/>
      </w:pPr>
      <w:r>
        <w:rPr>
          <w:color w:val="C9211E"/>
        </w:rPr>
        <w:t>John</w:t>
      </w:r>
      <w:r>
        <w:rPr>
          <w:color w:val="C9211E"/>
          <w:spacing w:val="-17"/>
        </w:rPr>
        <w:t xml:space="preserve"> </w:t>
      </w:r>
      <w:r>
        <w:rPr>
          <w:color w:val="C9211E"/>
        </w:rPr>
        <w:t>Adam</w:t>
      </w:r>
      <w:r>
        <w:rPr>
          <w:color w:val="C9211E"/>
          <w:spacing w:val="-8"/>
        </w:rPr>
        <w:t xml:space="preserve"> </w:t>
      </w:r>
      <w:r>
        <w:rPr>
          <w:color w:val="C9211E"/>
          <w:spacing w:val="-4"/>
        </w:rPr>
        <w:t>Doe</w:t>
      </w:r>
      <w:r>
        <w:rPr>
          <w:spacing w:val="-4"/>
        </w:rPr>
        <w:t>©</w:t>
      </w:r>
    </w:p>
    <w:p>
      <w:pPr>
        <w:pStyle w:val="Normal"/>
        <w:widowControl w:val="false"/>
        <w:bidi w:val="0"/>
        <w:spacing w:lineRule="auto" w:line="216" w:before="5" w:after="0"/>
        <w:ind w:left="113" w:right="113" w:hanging="0"/>
        <w:jc w:val="right"/>
        <w:rPr>
          <w:sz w:val="22"/>
        </w:rPr>
      </w:pPr>
      <w:r>
        <w:rPr>
          <w:sz w:val="22"/>
        </w:rPr>
        <w:t>non-negotiable</w:t>
      </w:r>
      <w:r>
        <w:rPr>
          <w:spacing w:val="-16"/>
          <w:sz w:val="22"/>
        </w:rPr>
        <w:t xml:space="preserve"> </w:t>
      </w:r>
      <w:r>
        <w:rPr>
          <w:sz w:val="22"/>
        </w:rPr>
        <w:t xml:space="preserve">Autograph. </w:t>
      </w:r>
    </w:p>
    <w:p>
      <w:pPr>
        <w:pStyle w:val="Normal"/>
        <w:widowControl w:val="false"/>
        <w:bidi w:val="0"/>
        <w:spacing w:lineRule="auto" w:line="216" w:before="5" w:after="0"/>
        <w:ind w:left="113" w:right="113" w:hanging="0"/>
        <w:jc w:val="right"/>
        <w:rPr>
          <w:sz w:val="22"/>
        </w:rPr>
      </w:pPr>
      <w:r>
        <w:rPr>
          <w:sz w:val="22"/>
        </w:rPr>
        <w:t>A Living Terra Australis National endowed</w:t>
      </w:r>
      <w:r>
        <w:rPr>
          <w:spacing w:val="-5"/>
          <w:sz w:val="22"/>
        </w:rPr>
        <w:t xml:space="preserve"> </w:t>
      </w:r>
      <w:r>
        <w:rPr>
          <w:sz w:val="22"/>
        </w:rPr>
        <w:t>with</w:t>
      </w:r>
      <w:r>
        <w:rPr>
          <w:spacing w:val="-4"/>
          <w:sz w:val="22"/>
        </w:rPr>
        <w:t xml:space="preserve"> </w:t>
      </w:r>
      <w:r>
        <w:rPr>
          <w:sz w:val="22"/>
        </w:rPr>
        <w:t>all</w:t>
      </w:r>
      <w:r>
        <w:rPr>
          <w:spacing w:val="-5"/>
          <w:sz w:val="22"/>
        </w:rPr>
        <w:t xml:space="preserve"> </w:t>
      </w:r>
      <w:r>
        <w:rPr>
          <w:color w:val="C9211E"/>
          <w:sz w:val="22"/>
        </w:rPr>
        <w:t>his</w:t>
      </w:r>
      <w:r>
        <w:rPr>
          <w:spacing w:val="-4"/>
          <w:sz w:val="22"/>
        </w:rPr>
        <w:t xml:space="preserve"> </w:t>
      </w:r>
      <w:r>
        <w:rPr>
          <w:sz w:val="22"/>
        </w:rPr>
        <w:t>natural</w:t>
      </w:r>
      <w:r>
        <w:rPr>
          <w:spacing w:val="-5"/>
          <w:sz w:val="22"/>
        </w:rPr>
        <w:t xml:space="preserve"> </w:t>
      </w:r>
      <w:r>
        <w:rPr>
          <w:spacing w:val="-2"/>
          <w:sz w:val="22"/>
        </w:rPr>
        <w:t>rights</w:t>
      </w:r>
    </w:p>
    <w:p>
      <w:pPr>
        <w:pStyle w:val="Normal"/>
        <w:spacing w:lineRule="auto" w:line="216" w:before="0" w:after="0"/>
        <w:ind w:left="3685" w:right="115" w:firstLine="1111"/>
        <w:jc w:val="right"/>
        <w:rPr>
          <w:sz w:val="22"/>
        </w:rPr>
      </w:pPr>
      <w:r>
        <w:rPr>
          <w:sz w:val="22"/>
        </w:rPr>
        <w:t>non-adverse,</w:t>
      </w:r>
      <w:r>
        <w:rPr>
          <w:spacing w:val="-16"/>
          <w:sz w:val="22"/>
        </w:rPr>
        <w:t xml:space="preserve"> </w:t>
      </w:r>
      <w:r>
        <w:rPr>
          <w:sz w:val="22"/>
        </w:rPr>
        <w:t>non-belligerent,</w:t>
      </w:r>
      <w:r>
        <w:rPr>
          <w:spacing w:val="-15"/>
          <w:sz w:val="22"/>
        </w:rPr>
        <w:t xml:space="preserve"> </w:t>
      </w:r>
      <w:r>
        <w:rPr>
          <w:sz w:val="22"/>
        </w:rPr>
        <w:t>non-combatant Without</w:t>
      </w:r>
      <w:r>
        <w:rPr>
          <w:spacing w:val="-8"/>
          <w:sz w:val="22"/>
        </w:rPr>
        <w:t xml:space="preserve"> </w:t>
      </w:r>
      <w:r>
        <w:rPr>
          <w:sz w:val="22"/>
        </w:rPr>
        <w:t>Recourse</w:t>
      </w:r>
      <w:r>
        <w:rPr>
          <w:spacing w:val="-5"/>
          <w:sz w:val="22"/>
        </w:rPr>
        <w:t xml:space="preserve"> </w:t>
      </w:r>
      <w:r>
        <w:rPr>
          <w:sz w:val="22"/>
        </w:rPr>
        <w:t>–Non</w:t>
      </w:r>
      <w:r>
        <w:rPr>
          <w:spacing w:val="-16"/>
          <w:sz w:val="22"/>
        </w:rPr>
        <w:t xml:space="preserve"> </w:t>
      </w:r>
      <w:r>
        <w:rPr>
          <w:sz w:val="22"/>
        </w:rPr>
        <w:t>Assumpsit.</w:t>
      </w:r>
      <w:r>
        <w:rPr>
          <w:spacing w:val="39"/>
          <w:sz w:val="22"/>
        </w:rPr>
        <w:t xml:space="preserve"> </w:t>
      </w:r>
      <w:r>
        <w:rPr>
          <w:sz w:val="22"/>
        </w:rPr>
        <w:t>All</w:t>
      </w:r>
      <w:r>
        <w:rPr>
          <w:spacing w:val="-6"/>
          <w:sz w:val="22"/>
        </w:rPr>
        <w:t xml:space="preserve"> </w:t>
      </w:r>
      <w:r>
        <w:rPr>
          <w:sz w:val="22"/>
        </w:rPr>
        <w:t>Rights</w:t>
      </w:r>
      <w:r>
        <w:rPr>
          <w:spacing w:val="-5"/>
          <w:sz w:val="22"/>
        </w:rPr>
        <w:t xml:space="preserve"> </w:t>
      </w:r>
      <w:r>
        <w:rPr>
          <w:spacing w:val="-2"/>
          <w:sz w:val="22"/>
        </w:rPr>
        <w:t>Reserved</w:t>
      </w:r>
    </w:p>
    <w:sectPr>
      <w:footerReference w:type="default" r:id="rId3"/>
      <w:type w:val="nextPage"/>
      <w:pgSz w:w="11906" w:h="16838"/>
      <w:pgMar w:left="1300" w:right="1300" w:gutter="0" w:header="0" w:top="1280" w:footer="1531" w:bottom="17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0"/>
      </w:rPr>
    </w:pPr>
    <w:r>
      <w:rPr>
        <w:sz w:val="20"/>
      </w:rPr>
    </w:r>
    <w:r>
      <mc:AlternateContent>
        <mc:Choice Requires="wps">
          <w:drawing>
            <wp:anchor behindDoc="1" distT="0" distB="0" distL="114300" distR="114300" simplePos="0" locked="0" layoutInCell="0" allowOverlap="1" relativeHeight="2">
              <wp:simplePos x="0" y="0"/>
              <wp:positionH relativeFrom="column">
                <wp:posOffset>3434715</wp:posOffset>
              </wp:positionH>
              <wp:positionV relativeFrom="paragraph">
                <wp:posOffset>-19685</wp:posOffset>
              </wp:positionV>
              <wp:extent cx="2413000" cy="177800"/>
              <wp:effectExtent l="0" t="0" r="0" b="0"/>
              <wp:wrapNone/>
              <wp:docPr id="1" name=""/>
              <a:graphic xmlns:a="http://schemas.openxmlformats.org/drawingml/2006/main">
                <a:graphicData uri="http://schemas.microsoft.com/office/word/2010/wordprocessingShape">
                  <wps:wsp>
                    <wps:cNvSpPr txBox="1"/>
                    <wps:spPr>
                      <a:xfrm>
                        <a:off x="0" y="0"/>
                        <a:ext cx="2413000" cy="177800"/>
                      </a:xfrm>
                      <a:prstGeom prst="rect"/>
                      <a:solidFill>
                        <a:srgbClr val="FFFFFF">
                          <a:alpha val="0"/>
                        </a:srgbClr>
                      </a:solidFill>
                    </wps:spPr>
                    <wps:txbx>
                      <w:txbxContent>
                        <w:p>
                          <w:pPr>
                            <w:pStyle w:val="FrameContents"/>
                            <w:spacing w:before="17" w:after="0"/>
                            <w:ind w:left="20" w:right="0" w:hanging="0"/>
                            <w:jc w:val="left"/>
                            <w:rPr>
                              <w:color w:val="C9211E"/>
                            </w:rPr>
                          </w:pPr>
                          <w:r>
                            <w:rPr>
                              <w:color w:val="C9211E"/>
                              <w:spacing w:val="-6"/>
                              <w:sz w:val="16"/>
                            </w:rPr>
                            <w:t>Recording</w:t>
                          </w:r>
                          <w:r>
                            <w:rPr>
                              <w:color w:val="C9211E"/>
                              <w:spacing w:val="2"/>
                              <w:sz w:val="16"/>
                            </w:rPr>
                            <w:t xml:space="preserve"> </w:t>
                          </w:r>
                          <w:r>
                            <w:rPr>
                              <w:color w:val="C9211E"/>
                              <w:spacing w:val="-6"/>
                              <w:sz w:val="16"/>
                            </w:rPr>
                            <w:t>Number</w:t>
                          </w:r>
                          <w:r>
                            <w:rPr>
                              <w:color w:val="C9211E"/>
                              <w:spacing w:val="2"/>
                              <w:sz w:val="16"/>
                            </w:rPr>
                            <w:t xml:space="preserve"> </w:t>
                          </w:r>
                          <w:r>
                            <w:rPr>
                              <w:color w:val="C9211E"/>
                              <w:spacing w:val="-6"/>
                              <w:sz w:val="16"/>
                            </w:rPr>
                            <w:t>RPP1111111</w:t>
                          </w:r>
                          <w:r>
                            <w:rPr>
                              <w:color w:val="C9211E"/>
                              <w:spacing w:val="2"/>
                              <w:sz w:val="16"/>
                            </w:rPr>
                            <w:t xml:space="preserve"> </w:t>
                          </w:r>
                          <w:r>
                            <w:rPr>
                              <w:color w:val="C9211E"/>
                              <w:spacing w:val="-6"/>
                              <w:sz w:val="16"/>
                            </w:rPr>
                            <w:t>11111</w:t>
                          </w:r>
                          <w:r>
                            <w:rPr>
                              <w:color w:val="C9211E"/>
                              <w:spacing w:val="2"/>
                              <w:sz w:val="16"/>
                            </w:rPr>
                            <w:t xml:space="preserve"> </w:t>
                          </w:r>
                          <w:r>
                            <w:rPr>
                              <w:color w:val="C9211E"/>
                              <w:spacing w:val="-6"/>
                              <w:sz w:val="16"/>
                            </w:rPr>
                            <w:t>11111</w:t>
                          </w:r>
                          <w:r>
                            <w:rPr>
                              <w:color w:val="C9211E"/>
                              <w:spacing w:val="2"/>
                              <w:sz w:val="16"/>
                            </w:rPr>
                            <w:t xml:space="preserve"> </w:t>
                          </w:r>
                          <w:r>
                            <w:rPr>
                              <w:color w:val="C9211E"/>
                              <w:spacing w:val="-6"/>
                              <w:sz w:val="16"/>
                            </w:rPr>
                            <w:t>11111</w:t>
                          </w:r>
                        </w:p>
                      </w:txbxContent>
                    </wps:txbx>
                    <wps:bodyPr anchor="t" lIns="0" tIns="0" rIns="0" bIns="0">
                      <a:noAutofit/>
                    </wps:bodyPr>
                  </wps:wsp>
                </a:graphicData>
              </a:graphic>
            </wp:anchor>
          </w:drawing>
        </mc:Choice>
        <mc:Fallback>
          <w:pict>
            <v:rect stroked="f" strokeweight="0pt" style="position:absolute;rotation:0;width:190pt;height:14pt;mso-wrap-distance-left:9pt;mso-wrap-distance-right:9pt;mso-wrap-distance-top:0pt;mso-wrap-distance-bottom:0pt;margin-top:-1.55pt;mso-position-vertical-relative:text;margin-left:270.45pt;mso-position-horizontal-relative:text">
              <v:textbox inset="0in,0in,0in,0in">
                <w:txbxContent>
                  <w:p>
                    <w:pPr>
                      <w:pStyle w:val="FrameContents"/>
                      <w:spacing w:before="17" w:after="0"/>
                      <w:ind w:left="20" w:right="0" w:hanging="0"/>
                      <w:jc w:val="left"/>
                      <w:rPr>
                        <w:color w:val="C9211E"/>
                      </w:rPr>
                    </w:pPr>
                    <w:r>
                      <w:rPr>
                        <w:color w:val="C9211E"/>
                        <w:spacing w:val="-6"/>
                        <w:sz w:val="16"/>
                      </w:rPr>
                      <w:t>Recording</w:t>
                    </w:r>
                    <w:r>
                      <w:rPr>
                        <w:color w:val="C9211E"/>
                        <w:spacing w:val="2"/>
                        <w:sz w:val="16"/>
                      </w:rPr>
                      <w:t xml:space="preserve"> </w:t>
                    </w:r>
                    <w:r>
                      <w:rPr>
                        <w:color w:val="C9211E"/>
                        <w:spacing w:val="-6"/>
                        <w:sz w:val="16"/>
                      </w:rPr>
                      <w:t>Number</w:t>
                    </w:r>
                    <w:r>
                      <w:rPr>
                        <w:color w:val="C9211E"/>
                        <w:spacing w:val="2"/>
                        <w:sz w:val="16"/>
                      </w:rPr>
                      <w:t xml:space="preserve"> </w:t>
                    </w:r>
                    <w:r>
                      <w:rPr>
                        <w:color w:val="C9211E"/>
                        <w:spacing w:val="-6"/>
                        <w:sz w:val="16"/>
                      </w:rPr>
                      <w:t>RPP1111111</w:t>
                    </w:r>
                    <w:r>
                      <w:rPr>
                        <w:color w:val="C9211E"/>
                        <w:spacing w:val="2"/>
                        <w:sz w:val="16"/>
                      </w:rPr>
                      <w:t xml:space="preserve"> </w:t>
                    </w:r>
                    <w:r>
                      <w:rPr>
                        <w:color w:val="C9211E"/>
                        <w:spacing w:val="-6"/>
                        <w:sz w:val="16"/>
                      </w:rPr>
                      <w:t>11111</w:t>
                    </w:r>
                    <w:r>
                      <w:rPr>
                        <w:color w:val="C9211E"/>
                        <w:spacing w:val="2"/>
                        <w:sz w:val="16"/>
                      </w:rPr>
                      <w:t xml:space="preserve"> </w:t>
                    </w:r>
                    <w:r>
                      <w:rPr>
                        <w:color w:val="C9211E"/>
                        <w:spacing w:val="-6"/>
                        <w:sz w:val="16"/>
                      </w:rPr>
                      <w:t>11111</w:t>
                    </w:r>
                    <w:r>
                      <w:rPr>
                        <w:color w:val="C9211E"/>
                        <w:spacing w:val="2"/>
                        <w:sz w:val="16"/>
                      </w:rPr>
                      <w:t xml:space="preserve"> </w:t>
                    </w:r>
                    <w:r>
                      <w:rPr>
                        <w:color w:val="C9211E"/>
                        <w:spacing w:val="-6"/>
                        <w:sz w:val="16"/>
                      </w:rPr>
                      <w:t>11111</w:t>
                    </w:r>
                  </w:p>
                </w:txbxContent>
              </v:textbox>
              <w10:wrap type="none"/>
            </v:rect>
          </w:pict>
        </mc:Fallback>
      </mc:AlternateContent>
    </w:r>
    <w:r>
      <mc:AlternateContent>
        <mc:Choice Requires="wps">
          <w:drawing>
            <wp:anchor behindDoc="1" distT="0" distB="0" distL="114300" distR="114300" simplePos="0" locked="0" layoutInCell="0" allowOverlap="1" relativeHeight="3">
              <wp:simplePos x="0" y="0"/>
              <wp:positionH relativeFrom="page">
                <wp:posOffset>887095</wp:posOffset>
              </wp:positionH>
              <wp:positionV relativeFrom="page">
                <wp:posOffset>9580245</wp:posOffset>
              </wp:positionV>
              <wp:extent cx="1246505" cy="186055"/>
              <wp:effectExtent l="0" t="0" r="0" b="0"/>
              <wp:wrapNone/>
              <wp:docPr id="2" name=""/>
              <a:graphic xmlns:a="http://schemas.openxmlformats.org/drawingml/2006/main">
                <a:graphicData uri="http://schemas.microsoft.com/office/word/2010/wordprocessingShape">
                  <wps:wsp>
                    <wps:cNvSpPr txBox="1"/>
                    <wps:spPr>
                      <a:xfrm>
                        <a:off x="0" y="0"/>
                        <a:ext cx="1246505" cy="186055"/>
                      </a:xfrm>
                      <a:prstGeom prst="rect"/>
                      <a:solidFill>
                        <a:srgbClr val="FFFFFF">
                          <a:alpha val="0"/>
                        </a:srgbClr>
                      </a:solidFill>
                    </wps:spPr>
                    <wps:txbx>
                      <w:txbxContent>
                        <w:p>
                          <w:pPr>
                            <w:pStyle w:val="FrameContents"/>
                            <w:spacing w:before="14" w:after="0"/>
                            <w:ind w:left="20" w:right="0" w:hanging="0"/>
                            <w:jc w:val="left"/>
                            <w:rPr>
                              <w:sz w:val="16"/>
                            </w:rPr>
                          </w:pPr>
                          <w:r>
                            <w:rPr>
                              <w:sz w:val="16"/>
                            </w:rPr>
                            <w:t>[TACR2a]</w:t>
                          </w:r>
                          <w:r>
                            <w:rPr>
                              <w:spacing w:val="-6"/>
                              <w:sz w:val="16"/>
                            </w:rPr>
                            <w:t xml:space="preserve"> </w:t>
                          </w:r>
                          <w:r>
                            <w:rPr>
                              <w:sz w:val="16"/>
                            </w:rPr>
                            <w:t>Page</w:t>
                          </w:r>
                          <w:r>
                            <w:rPr>
                              <w:spacing w:val="-6"/>
                              <w:sz w:val="16"/>
                            </w:rPr>
                            <w:t xml:space="preserve"> </w:t>
                          </w:r>
                          <w:r>
                            <w:rPr>
                              <w:sz w:val="16"/>
                            </w:rPr>
                            <w:t>1</w:t>
                          </w:r>
                          <w:r>
                            <w:rPr>
                              <w:spacing w:val="-5"/>
                              <w:sz w:val="16"/>
                            </w:rPr>
                            <w:t xml:space="preserve"> </w:t>
                          </w:r>
                          <w:r>
                            <w:rPr>
                              <w:sz w:val="16"/>
                            </w:rPr>
                            <w:t>of</w:t>
                          </w:r>
                          <w:r>
                            <w:rPr>
                              <w:spacing w:val="-6"/>
                              <w:sz w:val="16"/>
                            </w:rPr>
                            <w:t xml:space="preserve"> </w:t>
                          </w:r>
                          <w:r>
                            <w:rPr>
                              <w:spacing w:val="-10"/>
                              <w:sz w:val="16"/>
                            </w:rPr>
                            <w:t>2</w:t>
                          </w:r>
                        </w:p>
                      </w:txbxContent>
                    </wps:txbx>
                    <wps:bodyPr anchor="t" lIns="0" tIns="0" rIns="0" bIns="0">
                      <a:noAutofit/>
                    </wps:bodyPr>
                  </wps:wsp>
                </a:graphicData>
              </a:graphic>
            </wp:anchor>
          </w:drawing>
        </mc:Choice>
        <mc:Fallback>
          <w:pict>
            <v:rect stroked="f" strokeweight="0pt" style="position:absolute;rotation:0;width:98.15pt;height:14.65pt;mso-wrap-distance-left:9pt;mso-wrap-distance-right:9pt;mso-wrap-distance-top:0pt;mso-wrap-distance-bottom:0pt;margin-top:754.35pt;mso-position-vertical-relative:page;margin-left:69.85pt;mso-position-horizontal-relative:page">
              <v:textbox inset="0in,0in,0in,0in">
                <w:txbxContent>
                  <w:p>
                    <w:pPr>
                      <w:pStyle w:val="FrameContents"/>
                      <w:spacing w:before="14" w:after="0"/>
                      <w:ind w:left="20" w:right="0" w:hanging="0"/>
                      <w:jc w:val="left"/>
                      <w:rPr>
                        <w:sz w:val="16"/>
                      </w:rPr>
                    </w:pPr>
                    <w:r>
                      <w:rPr>
                        <w:sz w:val="16"/>
                      </w:rPr>
                      <w:t>[TACR2a]</w:t>
                    </w:r>
                    <w:r>
                      <w:rPr>
                        <w:spacing w:val="-6"/>
                        <w:sz w:val="16"/>
                      </w:rPr>
                      <w:t xml:space="preserve"> </w:t>
                    </w:r>
                    <w:r>
                      <w:rPr>
                        <w:sz w:val="16"/>
                      </w:rPr>
                      <w:t>Page</w:t>
                    </w:r>
                    <w:r>
                      <w:rPr>
                        <w:spacing w:val="-6"/>
                        <w:sz w:val="16"/>
                      </w:rPr>
                      <w:t xml:space="preserve"> </w:t>
                    </w:r>
                    <w:r>
                      <w:rPr>
                        <w:sz w:val="16"/>
                      </w:rPr>
                      <w:t>1</w:t>
                    </w:r>
                    <w:r>
                      <w:rPr>
                        <w:spacing w:val="-5"/>
                        <w:sz w:val="16"/>
                      </w:rPr>
                      <w:t xml:space="preserve"> </w:t>
                    </w:r>
                    <w:r>
                      <w:rPr>
                        <w:sz w:val="16"/>
                      </w:rPr>
                      <w:t>of</w:t>
                    </w:r>
                    <w:r>
                      <w:rPr>
                        <w:spacing w:val="-6"/>
                        <w:sz w:val="16"/>
                      </w:rPr>
                      <w:t xml:space="preserve"> </w:t>
                    </w:r>
                    <w:r>
                      <w:rPr>
                        <w:spacing w:val="-10"/>
                        <w:sz w:val="16"/>
                      </w:rPr>
                      <w:t>2</w:t>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0"/>
      </w:rPr>
    </w:pPr>
    <w:r>
      <w:rPr>
        <w:sz w:val="20"/>
      </w:rPr>
      <mc:AlternateContent>
        <mc:Choice Requires="wps">
          <w:drawing>
            <wp:anchor behindDoc="1" distT="0" distB="0" distL="114300" distR="114300" simplePos="0" locked="0" layoutInCell="0" allowOverlap="1" relativeHeight="4">
              <wp:simplePos x="0" y="0"/>
              <wp:positionH relativeFrom="page">
                <wp:posOffset>887095</wp:posOffset>
              </wp:positionH>
              <wp:positionV relativeFrom="page">
                <wp:posOffset>9580245</wp:posOffset>
              </wp:positionV>
              <wp:extent cx="1449070" cy="378460"/>
              <wp:effectExtent l="0" t="0" r="0" b="0"/>
              <wp:wrapNone/>
              <wp:docPr id="3" name=""/>
              <a:graphic xmlns:a="http://schemas.openxmlformats.org/drawingml/2006/main">
                <a:graphicData uri="http://schemas.microsoft.com/office/word/2010/wordprocessingShape">
                  <wps:wsp>
                    <wps:cNvSpPr/>
                    <wps:spPr>
                      <a:xfrm>
                        <a:off x="0" y="0"/>
                        <a:ext cx="1448280" cy="378000"/>
                      </a:xfrm>
                      <a:prstGeom prst="rect">
                        <a:avLst/>
                      </a:prstGeom>
                      <a:noFill/>
                      <a:ln w="0">
                        <a:noFill/>
                      </a:ln>
                    </wps:spPr>
                    <wps:style>
                      <a:lnRef idx="0"/>
                      <a:fillRef idx="0"/>
                      <a:effectRef idx="0"/>
                      <a:fontRef idx="minor"/>
                    </wps:style>
                    <wps:txbx>
                      <w:txbxContent>
                        <w:p>
                          <w:pPr>
                            <w:pStyle w:val="FrameContents"/>
                            <w:spacing w:before="14" w:after="0"/>
                            <w:ind w:left="20" w:right="0" w:hanging="0"/>
                            <w:jc w:val="left"/>
                            <w:rPr>
                              <w:sz w:val="16"/>
                            </w:rPr>
                          </w:pPr>
                          <w:r>
                            <w:rPr>
                              <w:sz w:val="16"/>
                            </w:rPr>
                            <w:t>[TACR2b]</w:t>
                          </w:r>
                          <w:r>
                            <w:rPr>
                              <w:spacing w:val="-6"/>
                              <w:sz w:val="16"/>
                            </w:rPr>
                            <w:t xml:space="preserve"> </w:t>
                          </w:r>
                          <w:r>
                            <w:rPr>
                              <w:sz w:val="16"/>
                            </w:rPr>
                            <w:t>Page</w:t>
                          </w:r>
                          <w:r>
                            <w:rPr>
                              <w:spacing w:val="-6"/>
                              <w:sz w:val="16"/>
                            </w:rPr>
                            <w:t xml:space="preserve"> </w:t>
                          </w:r>
                          <w:r>
                            <w:rPr>
                              <w:sz w:val="16"/>
                            </w:rPr>
                            <w:t>2</w:t>
                          </w:r>
                          <w:r>
                            <w:rPr>
                              <w:spacing w:val="-5"/>
                              <w:sz w:val="16"/>
                            </w:rPr>
                            <w:t xml:space="preserve"> </w:t>
                          </w:r>
                          <w:r>
                            <w:rPr>
                              <w:sz w:val="16"/>
                            </w:rPr>
                            <w:t>of</w:t>
                          </w:r>
                          <w:r>
                            <w:rPr>
                              <w:spacing w:val="-6"/>
                              <w:sz w:val="16"/>
                            </w:rPr>
                            <w:t xml:space="preserve"> </w:t>
                          </w:r>
                          <w:r>
                            <w:rPr>
                              <w:spacing w:val="-10"/>
                              <w:sz w:val="16"/>
                            </w:rPr>
                            <w:t>2</w:t>
                          </w:r>
                        </w:p>
                      </w:txbxContent>
                    </wps:txbx>
                    <wps:bodyPr lIns="0" rIns="0" tIns="0" bIns="0" anchor="t">
                      <a:noAutofit/>
                    </wps:bodyPr>
                  </wps:wsp>
                </a:graphicData>
              </a:graphic>
            </wp:anchor>
          </w:drawing>
        </mc:Choice>
        <mc:Fallback>
          <w:pict/>
        </mc:Fallback>
      </mc:AlternateContent>
      <mc:AlternateContent>
        <mc:Choice Requires="wps">
          <w:drawing>
            <wp:anchor behindDoc="1" distT="0" distB="0" distL="114300" distR="114300" simplePos="0" locked="0" layoutInCell="0" allowOverlap="1" relativeHeight="6">
              <wp:simplePos x="0" y="0"/>
              <wp:positionH relativeFrom="page">
                <wp:posOffset>4073525</wp:posOffset>
              </wp:positionH>
              <wp:positionV relativeFrom="page">
                <wp:posOffset>9580245</wp:posOffset>
              </wp:positionV>
              <wp:extent cx="2600325" cy="299085"/>
              <wp:effectExtent l="0" t="0" r="0" b="0"/>
              <wp:wrapNone/>
              <wp:docPr id="5" name=""/>
              <a:graphic xmlns:a="http://schemas.openxmlformats.org/drawingml/2006/main">
                <a:graphicData uri="http://schemas.microsoft.com/office/word/2010/wordprocessingShape">
                  <wps:wsp>
                    <wps:cNvSpPr/>
                    <wps:spPr>
                      <a:xfrm>
                        <a:off x="0" y="0"/>
                        <a:ext cx="2599560" cy="298440"/>
                      </a:xfrm>
                      <a:prstGeom prst="rect">
                        <a:avLst/>
                      </a:prstGeom>
                      <a:noFill/>
                      <a:ln w="0">
                        <a:noFill/>
                      </a:ln>
                    </wps:spPr>
                    <wps:style>
                      <a:lnRef idx="0"/>
                      <a:fillRef idx="0"/>
                      <a:effectRef idx="0"/>
                      <a:fontRef idx="minor"/>
                    </wps:style>
                    <wps:txbx>
                      <w:txbxContent>
                        <w:p>
                          <w:pPr>
                            <w:pStyle w:val="FrameContents"/>
                            <w:spacing w:before="14" w:after="0"/>
                            <w:ind w:left="20" w:right="0" w:hanging="0"/>
                            <w:jc w:val="left"/>
                            <w:rPr>
                              <w:color w:val="C9211E"/>
                            </w:rPr>
                          </w:pPr>
                          <w:r>
                            <w:rPr>
                              <w:color w:val="C9211E"/>
                              <w:spacing w:val="-6"/>
                              <w:sz w:val="16"/>
                            </w:rPr>
                            <w:t>Recording</w:t>
                          </w:r>
                          <w:r>
                            <w:rPr>
                              <w:color w:val="C9211E"/>
                              <w:spacing w:val="2"/>
                              <w:sz w:val="16"/>
                            </w:rPr>
                            <w:t xml:space="preserve"> </w:t>
                          </w:r>
                          <w:r>
                            <w:rPr>
                              <w:color w:val="C9211E"/>
                              <w:spacing w:val="-6"/>
                              <w:sz w:val="16"/>
                            </w:rPr>
                            <w:t>Number</w:t>
                          </w:r>
                          <w:r>
                            <w:rPr>
                              <w:color w:val="C9211E"/>
                              <w:spacing w:val="2"/>
                              <w:sz w:val="16"/>
                            </w:rPr>
                            <w:t xml:space="preserve"> </w:t>
                          </w:r>
                          <w:r>
                            <w:rPr>
                              <w:color w:val="C9211E"/>
                              <w:spacing w:val="-6"/>
                              <w:sz w:val="16"/>
                            </w:rPr>
                            <w:t>RPP1111111</w:t>
                          </w:r>
                          <w:r>
                            <w:rPr>
                              <w:color w:val="C9211E"/>
                              <w:spacing w:val="2"/>
                              <w:sz w:val="16"/>
                            </w:rPr>
                            <w:t xml:space="preserve"> </w:t>
                          </w:r>
                          <w:r>
                            <w:rPr>
                              <w:color w:val="C9211E"/>
                              <w:spacing w:val="-6"/>
                              <w:sz w:val="16"/>
                            </w:rPr>
                            <w:t>11111</w:t>
                          </w:r>
                          <w:r>
                            <w:rPr>
                              <w:color w:val="C9211E"/>
                              <w:spacing w:val="2"/>
                              <w:sz w:val="16"/>
                            </w:rPr>
                            <w:t xml:space="preserve"> </w:t>
                          </w:r>
                          <w:r>
                            <w:rPr>
                              <w:color w:val="C9211E"/>
                              <w:spacing w:val="-6"/>
                              <w:sz w:val="16"/>
                            </w:rPr>
                            <w:t>11111</w:t>
                          </w:r>
                          <w:r>
                            <w:rPr>
                              <w:color w:val="C9211E"/>
                              <w:spacing w:val="2"/>
                              <w:sz w:val="16"/>
                            </w:rPr>
                            <w:t xml:space="preserve"> </w:t>
                          </w:r>
                          <w:r>
                            <w:rPr>
                              <w:color w:val="C9211E"/>
                              <w:spacing w:val="-6"/>
                              <w:sz w:val="16"/>
                            </w:rPr>
                            <w:t>11111</w:t>
                          </w:r>
                        </w:p>
                      </w:txbxContent>
                    </wps:txbx>
                    <wps:bodyPr lIns="0" rIns="0" tIns="0" bIns="0" anchor="t">
                      <a:noAutofit/>
                    </wps:bodyPr>
                  </wps:wsp>
                </a:graphicData>
              </a:graphic>
            </wp:anchor>
          </w:drawing>
        </mc:Choice>
        <mc:Fallback>
          <w:pict/>
        </mc:Fallback>
      </mc:AlternateContent>
    </w:r>
  </w:p>
</w:ft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Arial" w:hAnsi="Arial" w:eastAsia="Arial" w:cs="Arial"/>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uiPriority w:val="1"/>
    <w:qFormat/>
    <w:pPr/>
    <w:rPr>
      <w:rFonts w:ascii="Arial" w:hAnsi="Arial" w:eastAsia="Arial" w:cs="Arial"/>
      <w:sz w:val="24"/>
      <w:szCs w:val="24"/>
      <w:lang w:val="en-US" w:eastAsia="en-US" w:bidi="ar-SA"/>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Title">
    <w:name w:val="Title"/>
    <w:basedOn w:val="Normal"/>
    <w:uiPriority w:val="1"/>
    <w:qFormat/>
    <w:pPr>
      <w:spacing w:before="93" w:after="0"/>
      <w:ind w:left="4042" w:right="0" w:hanging="3675"/>
    </w:pPr>
    <w:rPr>
      <w:rFonts w:ascii="Arial" w:hAnsi="Arial" w:eastAsia="Arial" w:cs="Arial"/>
      <w:b/>
      <w:bCs/>
      <w:sz w:val="36"/>
      <w:szCs w:val="36"/>
      <w:lang w:val="en-US" w:eastAsia="en-US" w:bidi="ar-SA"/>
    </w:rPr>
  </w:style>
  <w:style w:type="paragraph" w:styleId="ListParagraph">
    <w:name w:val="List Paragraph"/>
    <w:basedOn w:val="Normal"/>
    <w:uiPriority w:val="1"/>
    <w:qFormat/>
    <w:pPr/>
    <w:rPr>
      <w:lang w:val="en-US" w:eastAsia="en-US" w:bidi="ar-SA"/>
    </w:rPr>
  </w:style>
  <w:style w:type="paragraph" w:styleId="TableParagraph">
    <w:name w:val="Table Paragraph"/>
    <w:basedOn w:val="Normal"/>
    <w:uiPriority w:val="1"/>
    <w:qFormat/>
    <w:pPr/>
    <w:rPr>
      <w:lang w:val="en-US" w:eastAsia="en-US" w:bidi="ar-SA"/>
    </w:rPr>
  </w:style>
  <w:style w:type="paragraph" w:styleId="HeaderandFooter">
    <w:name w:val="Header and Footer"/>
    <w:basedOn w:val="Normal"/>
    <w:qFormat/>
    <w:pPr/>
    <w:rPr/>
  </w:style>
  <w:style w:type="paragraph" w:styleId="Footer">
    <w:name w:val="Footer"/>
    <w:basedOn w:val="HeaderandFooter"/>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LibreOffice/7.2.6.2$Windows_X86_64 LibreOffice_project/b0ec3a565991f7569a5a7f5d24fed7f52653d754</Application>
  <AppVersion>15.0000</AppVersion>
  <Pages>2</Pages>
  <Words>368</Words>
  <Characters>2220</Characters>
  <CharactersWithSpaces>2564</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2023-01-18T09:52:33Z</dcterms:created>
  <dc:creator>CASA</dc:creator>
  <dc:description/>
  <dc:language>en-AU</dc:language>
  <cp:lastModifiedBy/>
  <dcterms:modified xsi:type="dcterms:W3CDTF">2023-01-18T19:58:57Z</dcterms:modified>
  <cp:revision>1</cp:revision>
  <dc:subject/>
  <dc:title>John Adam Doe SN Conveyance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Serif Affinity Publisher 1.10.4</vt:lpwstr>
  </property>
  <property fmtid="{D5CDD505-2E9C-101B-9397-08002B2CF9AE}" pid="4" name="LastSaved">
    <vt:filetime>2023-01-18T00:00:00Z</vt:filetime>
  </property>
  <property fmtid="{D5CDD505-2E9C-101B-9397-08002B2CF9AE}" pid="5" name="Producer">
    <vt:lpwstr>PDFlib+PDI 9.3.1-i (Win32)</vt:lpwstr>
  </property>
</Properties>
</file>