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2"/>
        </w:rPr>
        <w:t>Tasmania CRIMINAL CODE ACT 1924 Sections 2A, 6, 9, 70, 120, 197, 235, 236, 290, 291, 300 – 379, &amp; 360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Tasmania CRIMINAL CODE ACT 1924 Sections 2A, 6, 9, 70, 120, 197, 235, 236, 290, 291, 300 – 379, &amp; 360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>
          <w:spacing w:val="-2"/>
        </w:rPr>
        <w:t>By:</w:t>
      </w:r>
      <w:r>
        <w:rPr>
          <w:spacing w:val="-5"/>
        </w:rPr>
        <w:t xml:space="preserve"> </w:t>
      </w:r>
      <w:r>
        <w:rPr>
          <w:spacing w:val="-2"/>
        </w:rPr>
        <w:t>……....……………………………......…..</w:t>
      </w:r>
      <w:r>
        <w:rPr>
          <w:spacing w:val="-3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00200" cy="139700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25.9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70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6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59.5pt;margin-top:-1.55pt;width:200.9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705" cy="291465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91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34.1pt;height:22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710" cy="299720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600" cy="299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28.25pt;margin-top:754.35pt;width:197.25pt;height:23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567</Words>
  <Characters>2997</Characters>
  <CharactersWithSpaces>3544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2024-01-23T18:58:42Z</dcterms:modified>
  <cp:revision>10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