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Heading1"/>
        <w:widowControl w:val="false"/>
        <w:bidi w:val="0"/>
        <w:spacing w:lineRule="exact" w:line="239" w:before="0" w:after="0"/>
        <w:ind w:left="283" w:right="0" w:hanging="0"/>
        <w:jc w:val="center"/>
        <w:rPr>
          <w:color w:val="000000"/>
        </w:rPr>
      </w:pPr>
      <w:r>
        <w:rPr>
          <w:color w:val="000000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2"/>
        </w:rPr>
        <w:t>Northern Territory CRIMINAL CODE ACT 1983 Sections 43AN, 43AO, 43BO 232,  233, 234,  235, 236,  237, &amp; 436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Northern Territory CRIMINAL CODE ACT 1983 Sections 43AN, 43AO, 43BO 232,  233, 234,  235, 236,  237, &amp; 436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99565" cy="139065"/>
              <wp:effectExtent l="0" t="0" r="0" b="0"/>
              <wp:wrapNone/>
              <wp:docPr id="1" name="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9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1" path="m0,0l-2147483645,0l-2147483645,-2147483646l0,-2147483646xe" stroked="f" o:allowincell="f" style="position:absolute;margin-left:69.85pt;margin-top:754.35pt;width:125.9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065" cy="139065"/>
              <wp:effectExtent l="0" t="0" r="0" b="0"/>
              <wp:wrapNone/>
              <wp:docPr id="3" name="Shap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2" path="m0,0l-2147483645,0l-2147483645,-2147483646l0,-2147483646xe" stroked="f" o:allowincell="f" style="position:absolute;margin-left:259.5pt;margin-top:-1.55pt;width:200.9pt;height:10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070" cy="290830"/>
              <wp:effectExtent l="0" t="0" r="0" b="0"/>
              <wp:wrapNone/>
              <wp:docPr id="5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160" cy="29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69.85pt;margin-top:754.35pt;width:134.05pt;height:22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075" cy="299085"/>
              <wp:effectExtent l="0" t="0" r="0" b="0"/>
              <wp:wrapNone/>
              <wp:docPr id="7" name="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9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4" path="m0,0l-2147483645,0l-2147483645,-2147483646l0,-2147483646xe" stroked="f" o:allowincell="f" style="position:absolute;margin-left:328.25pt;margin-top:754.35pt;width:197.2pt;height:23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581</Words>
  <Characters>3104</Characters>
  <CharactersWithSpaces>3669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2024-01-23T19:02:17Z</dcterms:modified>
  <cp:revision>8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