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Australian Capital Territory Criminal Code 2002 Sections 12, 16,  18,  19,  20, 21, 22,  23, 24, 38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  <w:spacing w:val="-12"/>
        </w:rPr>
        <w:t>born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Australian Capital Territory Criminal Code 2002 Sections 12, 16,  18,  19,  20, 21, 22,  23, 24, 38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LibreOffice/7.5.0.3$Windows_X86_64 LibreOffice_project/c21113d003cd3efa8c53188764377a8272d9d6de</Application>
  <AppVersion>15.0000</AppVersion>
  <Pages>2</Pages>
  <Words>579</Words>
  <Characters>3087</Characters>
  <CharactersWithSpaces>3652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2024-01-23T19:01:39Z</dcterms:modified>
  <cp:revision>11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